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81A92" w14:textId="77777777" w:rsidR="00E7331D" w:rsidRPr="00E7331D" w:rsidRDefault="00E7331D" w:rsidP="00E7331D">
      <w:pPr>
        <w:shd w:val="clear" w:color="auto" w:fill="FFFFFF"/>
        <w:spacing w:after="100" w:afterAutospacing="1" w:line="240" w:lineRule="auto"/>
        <w:outlineLvl w:val="1"/>
        <w:rPr>
          <w:rFonts w:ascii="Segoe UI" w:eastAsia="Times New Roman" w:hAnsi="Segoe UI" w:cs="Segoe UI"/>
          <w:color w:val="343A40"/>
          <w:sz w:val="36"/>
          <w:szCs w:val="36"/>
          <w:lang w:eastAsia="en-CA"/>
        </w:rPr>
      </w:pPr>
      <w:r w:rsidRPr="00E7331D">
        <w:rPr>
          <w:rFonts w:ascii="Segoe UI" w:eastAsia="Times New Roman" w:hAnsi="Segoe UI" w:cs="Segoe UI"/>
          <w:color w:val="343A40"/>
          <w:sz w:val="36"/>
          <w:szCs w:val="36"/>
          <w:lang w:eastAsia="en-CA"/>
        </w:rPr>
        <w:t>Week 4; Health Care Issues: Contemporary Policies and Indigenous Health</w:t>
      </w:r>
    </w:p>
    <w:p w14:paraId="7F0033D8" w14:textId="77777777" w:rsidR="00E7331D" w:rsidRPr="00E7331D" w:rsidRDefault="00E7331D" w:rsidP="00E7331D">
      <w:pPr>
        <w:shd w:val="clear" w:color="auto" w:fill="FFFFFF"/>
        <w:spacing w:after="100" w:afterAutospacing="1" w:line="240" w:lineRule="auto"/>
        <w:outlineLvl w:val="2"/>
        <w:rPr>
          <w:rFonts w:ascii="Segoe UI" w:eastAsia="Times New Roman" w:hAnsi="Segoe UI" w:cs="Segoe UI"/>
          <w:b/>
          <w:bCs/>
          <w:color w:val="343A40"/>
          <w:sz w:val="27"/>
          <w:szCs w:val="27"/>
          <w:lang w:eastAsia="en-CA"/>
        </w:rPr>
      </w:pPr>
      <w:r w:rsidRPr="00E7331D">
        <w:rPr>
          <w:rFonts w:ascii="Segoe UI" w:eastAsia="Times New Roman" w:hAnsi="Segoe UI" w:cs="Segoe UI"/>
          <w:b/>
          <w:bCs/>
          <w:color w:val="343A40"/>
          <w:sz w:val="27"/>
          <w:szCs w:val="27"/>
          <w:lang w:eastAsia="en-CA"/>
        </w:rPr>
        <w:t xml:space="preserve">The Relationship Between Policy &amp; </w:t>
      </w:r>
      <w:proofErr w:type="spellStart"/>
      <w:r w:rsidRPr="00E7331D">
        <w:rPr>
          <w:rFonts w:ascii="Segoe UI" w:eastAsia="Times New Roman" w:hAnsi="Segoe UI" w:cs="Segoe UI"/>
          <w:b/>
          <w:bCs/>
          <w:color w:val="343A40"/>
          <w:sz w:val="27"/>
          <w:szCs w:val="27"/>
          <w:lang w:eastAsia="en-CA"/>
        </w:rPr>
        <w:t>Legistlation</w:t>
      </w:r>
      <w:proofErr w:type="spellEnd"/>
    </w:p>
    <w:p w14:paraId="45D1D962"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Arial" w:eastAsia="Times New Roman" w:hAnsi="Arial" w:cs="Arial"/>
          <w:color w:val="343A40"/>
          <w:sz w:val="27"/>
          <w:szCs w:val="27"/>
          <w:lang w:eastAsia="en-CA"/>
        </w:rPr>
        <w:t>Health legislation may be defined as “the body of rules that regulates the promotion and protection of health, health services, the equitable distribution of available resources and the legal position of all parties concerned, such as patients, health care providers, health care institutions and financing and monitoring bodies” (</w:t>
      </w:r>
      <w:proofErr w:type="spellStart"/>
      <w:r w:rsidRPr="00E7331D">
        <w:rPr>
          <w:rFonts w:ascii="Arial" w:eastAsia="Times New Roman" w:hAnsi="Arial" w:cs="Arial"/>
          <w:color w:val="343A40"/>
          <w:sz w:val="27"/>
          <w:szCs w:val="27"/>
          <w:lang w:eastAsia="en-CA"/>
        </w:rPr>
        <w:t>Leenan</w:t>
      </w:r>
      <w:proofErr w:type="spellEnd"/>
      <w:r w:rsidRPr="00E7331D">
        <w:rPr>
          <w:rFonts w:ascii="Arial" w:eastAsia="Times New Roman" w:hAnsi="Arial" w:cs="Arial"/>
          <w:color w:val="343A40"/>
          <w:sz w:val="27"/>
          <w:szCs w:val="27"/>
          <w:lang w:eastAsia="en-CA"/>
        </w:rPr>
        <w:t xml:space="preserve">, 1998). In essence, health policies are not </w:t>
      </w:r>
      <w:proofErr w:type="gramStart"/>
      <w:r w:rsidRPr="00E7331D">
        <w:rPr>
          <w:rFonts w:ascii="Arial" w:eastAsia="Times New Roman" w:hAnsi="Arial" w:cs="Arial"/>
          <w:color w:val="343A40"/>
          <w:sz w:val="27"/>
          <w:szCs w:val="27"/>
          <w:lang w:eastAsia="en-CA"/>
        </w:rPr>
        <w:t>laws</w:t>
      </w:r>
      <w:proofErr w:type="gramEnd"/>
      <w:r w:rsidRPr="00E7331D">
        <w:rPr>
          <w:rFonts w:ascii="Arial" w:eastAsia="Times New Roman" w:hAnsi="Arial" w:cs="Arial"/>
          <w:color w:val="343A40"/>
          <w:sz w:val="27"/>
          <w:szCs w:val="27"/>
          <w:lang w:eastAsia="en-CA"/>
        </w:rPr>
        <w:t xml:space="preserve"> and are therefore not enforceable. This makes them easily changed unless they become entrenched as policy objectives in legislation (</w:t>
      </w:r>
      <w:proofErr w:type="spellStart"/>
      <w:r w:rsidRPr="00E7331D">
        <w:rPr>
          <w:rFonts w:ascii="Arial" w:eastAsia="Times New Roman" w:hAnsi="Arial" w:cs="Arial"/>
          <w:color w:val="343A40"/>
          <w:sz w:val="27"/>
          <w:szCs w:val="27"/>
          <w:lang w:eastAsia="en-CA"/>
        </w:rPr>
        <w:t>Legemaate</w:t>
      </w:r>
      <w:proofErr w:type="spellEnd"/>
      <w:r w:rsidRPr="00E7331D">
        <w:rPr>
          <w:rFonts w:ascii="Arial" w:eastAsia="Times New Roman" w:hAnsi="Arial" w:cs="Arial"/>
          <w:color w:val="343A40"/>
          <w:sz w:val="27"/>
          <w:szCs w:val="27"/>
          <w:lang w:eastAsia="en-CA"/>
        </w:rPr>
        <w:t>, 2002).</w:t>
      </w:r>
    </w:p>
    <w:p w14:paraId="1E8D5E71"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Arial" w:eastAsia="Times New Roman" w:hAnsi="Arial" w:cs="Arial"/>
          <w:color w:val="343A40"/>
          <w:sz w:val="27"/>
          <w:szCs w:val="27"/>
          <w:lang w:eastAsia="en-CA"/>
        </w:rPr>
        <w:t>1867 British North America Act (BNA). As discussed in the second week, The Act defined health services as a provincial jurisdiction, and Indian Affairs as an area of federal jurisdiction, thus creating an ambiguity over Indian health that remains today. Although the subsequent Indian Act (1876) included a health-related provision, the language of this provision failed to provide clear legislative authority for Indian health to the federal government. A Supreme Court ruling in 1939 confirmed the federal government’s legal responsibility for the Inuit (</w:t>
      </w:r>
      <w:proofErr w:type="spellStart"/>
      <w:r w:rsidRPr="00E7331D">
        <w:rPr>
          <w:rFonts w:ascii="Arial" w:eastAsia="Times New Roman" w:hAnsi="Arial" w:cs="Arial"/>
          <w:color w:val="343A40"/>
          <w:sz w:val="27"/>
          <w:szCs w:val="27"/>
          <w:lang w:eastAsia="en-CA"/>
        </w:rPr>
        <w:t>Bonsteel</w:t>
      </w:r>
      <w:proofErr w:type="spellEnd"/>
      <w:r w:rsidRPr="00E7331D">
        <w:rPr>
          <w:rFonts w:ascii="Arial" w:eastAsia="Times New Roman" w:hAnsi="Arial" w:cs="Arial"/>
          <w:color w:val="343A40"/>
          <w:sz w:val="27"/>
          <w:szCs w:val="27"/>
          <w:lang w:eastAsia="en-CA"/>
        </w:rPr>
        <w:t xml:space="preserve"> &amp; Anderson, 2006), but did not address health.</w:t>
      </w:r>
    </w:p>
    <w:p w14:paraId="306CE6B9"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hyperlink r:id="rId4" w:tgtFrame="_blank" w:history="1">
        <w:r w:rsidRPr="00E7331D">
          <w:rPr>
            <w:rFonts w:ascii="Segoe UI" w:eastAsia="Times New Roman" w:hAnsi="Segoe UI" w:cs="Segoe UI"/>
            <w:color w:val="0086D4"/>
            <w:sz w:val="23"/>
            <w:szCs w:val="23"/>
            <w:u w:val="single"/>
            <w:lang w:eastAsia="en-CA"/>
          </w:rPr>
          <w:t>Indian Health Policy, 1979</w:t>
        </w:r>
      </w:hyperlink>
      <w:r w:rsidRPr="00E7331D">
        <w:rPr>
          <w:rFonts w:ascii="Segoe UI" w:eastAsia="Times New Roman" w:hAnsi="Segoe UI" w:cs="Segoe UI"/>
          <w:color w:val="343A40"/>
          <w:sz w:val="23"/>
          <w:szCs w:val="23"/>
          <w:lang w:eastAsia="en-CA"/>
        </w:rPr>
        <w:t> is a two-page document that arguably reads more as a statement of intent on the part of the federal government to engage in supportive relationships with Indigenous communities in aid of reversing negative health outcomes. Supported by three pillars, the goal of the policy is ultimately to increase the capacity of communities to oversee health programming in a manner that is cohesive with Canada's health system. </w:t>
      </w:r>
    </w:p>
    <w:p w14:paraId="5CDC2098"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Segoe UI" w:eastAsia="Times New Roman" w:hAnsi="Segoe UI" w:cs="Segoe UI"/>
          <w:color w:val="343A40"/>
          <w:sz w:val="23"/>
          <w:szCs w:val="23"/>
          <w:u w:val="single"/>
          <w:lang w:eastAsia="en-CA"/>
        </w:rPr>
        <w:t>Pillar 1</w:t>
      </w:r>
      <w:r w:rsidRPr="00E7331D">
        <w:rPr>
          <w:rFonts w:ascii="Segoe UI" w:eastAsia="Times New Roman" w:hAnsi="Segoe UI" w:cs="Segoe UI"/>
          <w:color w:val="343A40"/>
          <w:sz w:val="23"/>
          <w:szCs w:val="23"/>
          <w:lang w:eastAsia="en-CA"/>
        </w:rPr>
        <w:t>: Community development</w:t>
      </w:r>
    </w:p>
    <w:p w14:paraId="03DB5BD0"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Segoe UI" w:eastAsia="Times New Roman" w:hAnsi="Segoe UI" w:cs="Segoe UI"/>
          <w:color w:val="343A40"/>
          <w:sz w:val="23"/>
          <w:szCs w:val="23"/>
          <w:u w:val="single"/>
          <w:lang w:eastAsia="en-CA"/>
        </w:rPr>
        <w:t>Pillar 2</w:t>
      </w:r>
      <w:r w:rsidRPr="00E7331D">
        <w:rPr>
          <w:rFonts w:ascii="Segoe UI" w:eastAsia="Times New Roman" w:hAnsi="Segoe UI" w:cs="Segoe UI"/>
          <w:color w:val="343A40"/>
          <w:sz w:val="23"/>
          <w:szCs w:val="23"/>
          <w:lang w:eastAsia="en-CA"/>
        </w:rPr>
        <w:t>: Cohesion and communication between Indigenous peoples and the federal government that supports capacity building in health management</w:t>
      </w:r>
    </w:p>
    <w:p w14:paraId="115DDFF4"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Segoe UI" w:eastAsia="Times New Roman" w:hAnsi="Segoe UI" w:cs="Segoe UI"/>
          <w:color w:val="343A40"/>
          <w:sz w:val="23"/>
          <w:szCs w:val="23"/>
          <w:u w:val="single"/>
          <w:lang w:eastAsia="en-CA"/>
        </w:rPr>
        <w:t>Pillar 3</w:t>
      </w:r>
      <w:r w:rsidRPr="00E7331D">
        <w:rPr>
          <w:rFonts w:ascii="Segoe UI" w:eastAsia="Times New Roman" w:hAnsi="Segoe UI" w:cs="Segoe UI"/>
          <w:color w:val="343A40"/>
          <w:sz w:val="23"/>
          <w:szCs w:val="23"/>
          <w:lang w:eastAsia="en-CA"/>
        </w:rPr>
        <w:t>: Integration with the Canadian health system</w:t>
      </w:r>
    </w:p>
    <w:p w14:paraId="59655F9E"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Arial" w:eastAsia="Times New Roman" w:hAnsi="Arial" w:cs="Arial"/>
          <w:color w:val="343A40"/>
          <w:sz w:val="27"/>
          <w:szCs w:val="27"/>
          <w:lang w:eastAsia="en-CA"/>
        </w:rPr>
        <w:t xml:space="preserve">The federal government’s role in the provision of health services is primarily through the limited public health and prevention services offered by the First Nations and Inuit Health Branch (FNIHB). Services are offered to status (registered) Indians living on-reserve and to Inuit living in their traditional territories (Health Canada, 2003a; 2008). The Branch provides non-insured </w:t>
      </w:r>
      <w:r w:rsidRPr="00E7331D">
        <w:rPr>
          <w:rFonts w:ascii="Arial" w:eastAsia="Times New Roman" w:hAnsi="Arial" w:cs="Arial"/>
          <w:color w:val="343A40"/>
          <w:sz w:val="27"/>
          <w:szCs w:val="27"/>
          <w:lang w:eastAsia="en-CA"/>
        </w:rPr>
        <w:lastRenderedPageBreak/>
        <w:t xml:space="preserve">health benefits (NIHB) such as prescription drugs, dental and vision coverage to all status/registered Indians and Inuit, regardless of where they live however, non-insured health benefits are not offered to Métis. Physician and hospital care </w:t>
      </w:r>
      <w:proofErr w:type="gramStart"/>
      <w:r w:rsidRPr="00E7331D">
        <w:rPr>
          <w:rFonts w:ascii="Arial" w:eastAsia="Times New Roman" w:hAnsi="Arial" w:cs="Arial"/>
          <w:color w:val="343A40"/>
          <w:sz w:val="27"/>
          <w:szCs w:val="27"/>
          <w:lang w:eastAsia="en-CA"/>
        </w:rPr>
        <w:t>is</w:t>
      </w:r>
      <w:proofErr w:type="gramEnd"/>
      <w:r w:rsidRPr="00E7331D">
        <w:rPr>
          <w:rFonts w:ascii="Arial" w:eastAsia="Times New Roman" w:hAnsi="Arial" w:cs="Arial"/>
          <w:color w:val="343A40"/>
          <w:sz w:val="27"/>
          <w:szCs w:val="27"/>
          <w:lang w:eastAsia="en-CA"/>
        </w:rPr>
        <w:t xml:space="preserve"> provided by provincial and territorial governments (Health Canada, 2008). Thus, for First Nations peoples living on-reserve, health care is predominately the federal government’s responsibility; other Aboriginal groups, with very few exceptions, fall under the purview of the provincial or territorial governments.</w:t>
      </w:r>
      <w:r w:rsidRPr="00E7331D">
        <w:rPr>
          <w:rFonts w:ascii="Arial" w:eastAsia="Times New Roman" w:hAnsi="Arial" w:cs="Arial"/>
          <w:color w:val="343A40"/>
          <w:sz w:val="27"/>
          <w:szCs w:val="27"/>
          <w:lang w:eastAsia="en-CA"/>
        </w:rPr>
        <w:br/>
      </w:r>
    </w:p>
    <w:p w14:paraId="21121148"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Arial" w:eastAsia="Times New Roman" w:hAnsi="Arial" w:cs="Arial"/>
          <w:color w:val="343A40"/>
          <w:sz w:val="27"/>
          <w:szCs w:val="27"/>
          <w:lang w:eastAsia="en-CA"/>
        </w:rPr>
        <w:t xml:space="preserve">As a result of historical legislative vagueness, and the multiplicity of authorities that resulted, the Indigenous legislation and health policy framework is </w:t>
      </w:r>
      <w:proofErr w:type="gramStart"/>
      <w:r w:rsidRPr="00E7331D">
        <w:rPr>
          <w:rFonts w:ascii="Arial" w:eastAsia="Times New Roman" w:hAnsi="Arial" w:cs="Arial"/>
          <w:color w:val="343A40"/>
          <w:sz w:val="27"/>
          <w:szCs w:val="27"/>
          <w:lang w:eastAsia="en-CA"/>
        </w:rPr>
        <w:t>very complex</w:t>
      </w:r>
      <w:proofErr w:type="gramEnd"/>
      <w:r w:rsidRPr="00E7331D">
        <w:rPr>
          <w:rFonts w:ascii="Arial" w:eastAsia="Times New Roman" w:hAnsi="Arial" w:cs="Arial"/>
          <w:color w:val="343A40"/>
          <w:sz w:val="27"/>
          <w:szCs w:val="27"/>
          <w:lang w:eastAsia="en-CA"/>
        </w:rPr>
        <w:t xml:space="preserve">, resulting in a great deal of diversity in health service provision across provinces and territories. The framework fails to adequately address the health care needs of the Métis or First Nations and Inuit people who are either not registered or not living on reserve/traditional territory (UNICEF Canada, 2009), and has also resulted in much jurisdictional debating about who should pay for health services in particular contexts. For Canada’s Indigenous peoples, these jurisdictional debates add to this complexity and negatively impact access to appropriate and responsive health care (Hawthorne, 1966; </w:t>
      </w:r>
      <w:proofErr w:type="spellStart"/>
      <w:r w:rsidRPr="00E7331D">
        <w:rPr>
          <w:rFonts w:ascii="Arial" w:eastAsia="Times New Roman" w:hAnsi="Arial" w:cs="Arial"/>
          <w:color w:val="343A40"/>
          <w:sz w:val="27"/>
          <w:szCs w:val="27"/>
          <w:lang w:eastAsia="en-CA"/>
        </w:rPr>
        <w:t>Romanow</w:t>
      </w:r>
      <w:proofErr w:type="spellEnd"/>
      <w:r w:rsidRPr="00E7331D">
        <w:rPr>
          <w:rFonts w:ascii="Arial" w:eastAsia="Times New Roman" w:hAnsi="Arial" w:cs="Arial"/>
          <w:color w:val="343A40"/>
          <w:sz w:val="27"/>
          <w:szCs w:val="27"/>
          <w:lang w:eastAsia="en-CA"/>
        </w:rPr>
        <w:t>, 2002).</w:t>
      </w:r>
    </w:p>
    <w:p w14:paraId="4D2DCBAD" w14:textId="77777777" w:rsidR="00E7331D" w:rsidRPr="00E7331D" w:rsidRDefault="00E7331D" w:rsidP="00E7331D">
      <w:pPr>
        <w:shd w:val="clear" w:color="auto" w:fill="FFFFFF"/>
        <w:spacing w:after="100" w:afterAutospacing="1" w:line="240" w:lineRule="auto"/>
        <w:rPr>
          <w:rFonts w:ascii="Segoe UI" w:eastAsia="Times New Roman" w:hAnsi="Segoe UI" w:cs="Segoe UI"/>
          <w:color w:val="343A40"/>
          <w:sz w:val="23"/>
          <w:szCs w:val="23"/>
          <w:lang w:eastAsia="en-CA"/>
        </w:rPr>
      </w:pPr>
      <w:r w:rsidRPr="00E7331D">
        <w:rPr>
          <w:rFonts w:ascii="Arial" w:eastAsia="Times New Roman" w:hAnsi="Arial" w:cs="Arial"/>
          <w:b/>
          <w:bCs/>
          <w:color w:val="343A40"/>
          <w:sz w:val="27"/>
          <w:szCs w:val="27"/>
          <w:lang w:eastAsia="en-CA"/>
        </w:rPr>
        <w:t>Source:</w:t>
      </w:r>
      <w:r w:rsidRPr="00E7331D">
        <w:rPr>
          <w:rFonts w:ascii="Arial" w:eastAsia="Times New Roman" w:hAnsi="Arial" w:cs="Arial"/>
          <w:color w:val="343A40"/>
          <w:sz w:val="27"/>
          <w:szCs w:val="27"/>
          <w:lang w:eastAsia="en-CA"/>
        </w:rPr>
        <w:t> http://www.arnbccommunitiesofpractice.ca/ahnn/wp-content/uploads/2015/03/Health-Legislation-Policy-eng.pdf</w:t>
      </w:r>
    </w:p>
    <w:p w14:paraId="281005A2" w14:textId="014DE376" w:rsidR="00CC60FE" w:rsidRDefault="00CC60FE"/>
    <w:p w14:paraId="241BC8B6" w14:textId="58EFB35A" w:rsidR="003E29E5" w:rsidRDefault="003E29E5"/>
    <w:p w14:paraId="7EC062BD" w14:textId="3598E97E" w:rsidR="003E29E5" w:rsidRDefault="003E29E5"/>
    <w:p w14:paraId="464251ED" w14:textId="794DD20D" w:rsidR="003E29E5" w:rsidRDefault="003E29E5"/>
    <w:p w14:paraId="39803E93" w14:textId="07ED5F01" w:rsidR="003E29E5" w:rsidRDefault="003E29E5"/>
    <w:p w14:paraId="3862556C" w14:textId="2F73E295" w:rsidR="003E29E5" w:rsidRDefault="003E29E5"/>
    <w:p w14:paraId="0BC83983" w14:textId="1B52FFBA" w:rsidR="003E29E5" w:rsidRDefault="003E29E5"/>
    <w:p w14:paraId="5A2951B1" w14:textId="7E2FEC4E" w:rsidR="003E29E5" w:rsidRDefault="003E29E5"/>
    <w:p w14:paraId="0F8979F4" w14:textId="281844CF" w:rsidR="003E29E5" w:rsidRDefault="003E29E5"/>
    <w:p w14:paraId="46147165" w14:textId="194F1260" w:rsidR="003E29E5" w:rsidRDefault="003E29E5"/>
    <w:p w14:paraId="0980A8D2" w14:textId="27D93FC1" w:rsidR="003E29E5" w:rsidRDefault="003E29E5"/>
    <w:p w14:paraId="558CBBFF" w14:textId="5A1C49EE" w:rsidR="003E29E5" w:rsidRDefault="003E29E5"/>
    <w:p w14:paraId="2CF46614" w14:textId="77777777" w:rsidR="003E29E5" w:rsidRDefault="003E29E5" w:rsidP="003E29E5">
      <w:pPr>
        <w:pStyle w:val="Heading2"/>
        <w:shd w:val="clear" w:color="auto" w:fill="FFFFFF"/>
        <w:spacing w:before="0" w:beforeAutospacing="0"/>
        <w:rPr>
          <w:rFonts w:ascii="Segoe UI" w:hAnsi="Segoe UI" w:cs="Segoe UI"/>
          <w:b w:val="0"/>
          <w:bCs w:val="0"/>
          <w:color w:val="343A40"/>
        </w:rPr>
      </w:pPr>
      <w:r>
        <w:rPr>
          <w:rFonts w:ascii="Segoe UI" w:hAnsi="Segoe UI" w:cs="Segoe UI"/>
          <w:b w:val="0"/>
          <w:bCs w:val="0"/>
          <w:color w:val="343A40"/>
        </w:rPr>
        <w:lastRenderedPageBreak/>
        <w:t>Week 4; Health Care Issues: Contemporary Policies and Indigenous Health</w:t>
      </w:r>
    </w:p>
    <w:p w14:paraId="36FCE216" w14:textId="77777777" w:rsidR="003E29E5" w:rsidRPr="00C306AC" w:rsidRDefault="003E29E5" w:rsidP="003E29E5">
      <w:pPr>
        <w:pStyle w:val="Heading3"/>
        <w:shd w:val="clear" w:color="auto" w:fill="FFFFFF"/>
        <w:spacing w:before="0" w:beforeAutospacing="0"/>
        <w:rPr>
          <w:rFonts w:ascii="Segoe UI" w:hAnsi="Segoe UI" w:cs="Segoe UI"/>
          <w:color w:val="343A40"/>
        </w:rPr>
      </w:pPr>
      <w:r w:rsidRPr="00C306AC">
        <w:rPr>
          <w:rFonts w:ascii="Segoe UI" w:hAnsi="Segoe UI" w:cs="Segoe UI"/>
          <w:color w:val="343A40"/>
        </w:rPr>
        <w:t>Indigenous Purity - Assimilation or Identity Making?</w:t>
      </w:r>
    </w:p>
    <w:p w14:paraId="1E7A3126" w14:textId="77777777" w:rsidR="003E29E5" w:rsidRDefault="003E29E5" w:rsidP="003E29E5">
      <w:pPr>
        <w:pStyle w:val="NormalWeb"/>
        <w:shd w:val="clear" w:color="auto" w:fill="FFFFFF"/>
        <w:spacing w:before="0" w:beforeAutospacing="0"/>
        <w:rPr>
          <w:rFonts w:ascii="Segoe UI" w:hAnsi="Segoe UI" w:cs="Segoe UI"/>
          <w:color w:val="343A40"/>
          <w:sz w:val="23"/>
          <w:szCs w:val="23"/>
        </w:rPr>
      </w:pPr>
      <w:r>
        <w:rPr>
          <w:rStyle w:val="Strong"/>
          <w:rFonts w:ascii="Arial" w:hAnsi="Arial" w:cs="Arial"/>
          <w:color w:val="343A40"/>
          <w:sz w:val="27"/>
          <w:szCs w:val="27"/>
        </w:rPr>
        <w:t>What, or who, defines someone as Indigenous — is it the hereditary system, the Indian Act, a blood test?</w:t>
      </w:r>
    </w:p>
    <w:p w14:paraId="50BC3966" w14:textId="77777777" w:rsidR="003E29E5" w:rsidRDefault="003E29E5" w:rsidP="003E29E5">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In the book </w:t>
      </w:r>
      <w:r>
        <w:rPr>
          <w:rFonts w:ascii="Arial" w:hAnsi="Arial" w:cs="Arial"/>
          <w:i/>
          <w:iCs/>
          <w:color w:val="343A40"/>
          <w:sz w:val="27"/>
          <w:szCs w:val="27"/>
        </w:rPr>
        <w:t>Beyond Blood, </w:t>
      </w:r>
      <w:proofErr w:type="spellStart"/>
      <w:r>
        <w:rPr>
          <w:rFonts w:ascii="Arial" w:hAnsi="Arial" w:cs="Arial"/>
          <w:color w:val="343A40"/>
          <w:sz w:val="27"/>
          <w:szCs w:val="27"/>
        </w:rPr>
        <w:t>Mi’kmaw</w:t>
      </w:r>
      <w:proofErr w:type="spellEnd"/>
      <w:r>
        <w:rPr>
          <w:rFonts w:ascii="Arial" w:hAnsi="Arial" w:cs="Arial"/>
          <w:color w:val="343A40"/>
          <w:sz w:val="27"/>
          <w:szCs w:val="27"/>
        </w:rPr>
        <w:t xml:space="preserve"> Author Pam </w:t>
      </w:r>
      <w:proofErr w:type="spellStart"/>
      <w:r>
        <w:rPr>
          <w:rFonts w:ascii="Arial" w:hAnsi="Arial" w:cs="Arial"/>
          <w:color w:val="343A40"/>
          <w:sz w:val="27"/>
          <w:szCs w:val="27"/>
        </w:rPr>
        <w:t>Palmater</w:t>
      </w:r>
      <w:proofErr w:type="spellEnd"/>
      <w:r>
        <w:rPr>
          <w:rFonts w:ascii="Arial" w:hAnsi="Arial" w:cs="Arial"/>
          <w:color w:val="343A40"/>
          <w:sz w:val="27"/>
          <w:szCs w:val="27"/>
        </w:rPr>
        <w:t xml:space="preserve"> (2011) wrote, “the majority of the literature rejects blood quantum on any basis, characterizing such rules as racist criteria that only serve state attempts to assimilate indigenous peoples through blood dilution (out marriage)”. </w:t>
      </w:r>
      <w:proofErr w:type="spellStart"/>
      <w:r>
        <w:rPr>
          <w:rFonts w:ascii="Arial" w:hAnsi="Arial" w:cs="Arial"/>
          <w:color w:val="343A40"/>
          <w:sz w:val="27"/>
          <w:szCs w:val="27"/>
        </w:rPr>
        <w:t>Palmater</w:t>
      </w:r>
      <w:proofErr w:type="spellEnd"/>
      <w:r>
        <w:rPr>
          <w:rFonts w:ascii="Arial" w:hAnsi="Arial" w:cs="Arial"/>
          <w:color w:val="343A40"/>
          <w:sz w:val="27"/>
          <w:szCs w:val="27"/>
        </w:rPr>
        <w:t xml:space="preserve"> has gone on to point to the flawed science of eugenics as a reason for the continued use of blood quantum in early government policies. Eugenics was a failed attempt to create policy based on racist notions that believed certain races were inferior to others and created policies surrounding it which led to racist regimes such as Nazi Germany and the Apartheid in South Africa. Yet, in today’s society that recognizes human rights and strives for equality, many tribes in the United States and First Nations in Canada under the </w:t>
      </w:r>
      <w:r>
        <w:rPr>
          <w:rFonts w:ascii="Arial" w:hAnsi="Arial" w:cs="Arial"/>
          <w:i/>
          <w:iCs/>
          <w:color w:val="343A40"/>
          <w:sz w:val="27"/>
          <w:szCs w:val="27"/>
        </w:rPr>
        <w:t>Indian Act</w:t>
      </w:r>
      <w:r>
        <w:rPr>
          <w:rFonts w:ascii="Arial" w:hAnsi="Arial" w:cs="Arial"/>
          <w:color w:val="343A40"/>
          <w:sz w:val="27"/>
          <w:szCs w:val="27"/>
        </w:rPr>
        <w:t>, continue to use blood discourse as part of their determination of who belongs to that tribe or First Nation.</w:t>
      </w:r>
    </w:p>
    <w:p w14:paraId="5FF2D98A" w14:textId="77777777" w:rsidR="003E29E5" w:rsidRDefault="003E29E5" w:rsidP="003E29E5">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I would like you to think about a quote from a </w:t>
      </w:r>
      <w:r>
        <w:rPr>
          <w:rFonts w:ascii="Arial" w:hAnsi="Arial" w:cs="Arial"/>
          <w:i/>
          <w:iCs/>
          <w:color w:val="343A40"/>
          <w:sz w:val="27"/>
          <w:szCs w:val="27"/>
        </w:rPr>
        <w:t>book </w:t>
      </w:r>
      <w:r>
        <w:rPr>
          <w:rFonts w:ascii="Arial" w:hAnsi="Arial" w:cs="Arial"/>
          <w:color w:val="343A40"/>
          <w:sz w:val="27"/>
          <w:szCs w:val="27"/>
        </w:rPr>
        <w:t>“</w:t>
      </w:r>
      <w:r>
        <w:rPr>
          <w:rFonts w:ascii="Arial" w:hAnsi="Arial" w:cs="Arial"/>
          <w:i/>
          <w:iCs/>
          <w:color w:val="343A40"/>
          <w:sz w:val="27"/>
          <w:szCs w:val="27"/>
        </w:rPr>
        <w:t>For Indigenous Eyes Only” </w:t>
      </w:r>
      <w:r>
        <w:rPr>
          <w:rFonts w:ascii="Arial" w:hAnsi="Arial" w:cs="Arial"/>
          <w:color w:val="343A40"/>
          <w:sz w:val="27"/>
          <w:szCs w:val="27"/>
        </w:rPr>
        <w:t>in hopes of creating some debate or discussion around ideas surrounding blood quantum when Michael Yellowbird (2005) wrote:</w:t>
      </w:r>
    </w:p>
    <w:p w14:paraId="02907B06" w14:textId="77777777" w:rsidR="003E29E5" w:rsidRDefault="003E29E5" w:rsidP="008442F1">
      <w:pPr>
        <w:pStyle w:val="NormalWeb"/>
        <w:shd w:val="clear" w:color="auto" w:fill="FFFFFF"/>
        <w:spacing w:before="0" w:beforeAutospacing="0"/>
        <w:ind w:left="900"/>
        <w:rPr>
          <w:rFonts w:ascii="Segoe UI" w:hAnsi="Segoe UI" w:cs="Segoe UI"/>
          <w:color w:val="343A40"/>
          <w:sz w:val="23"/>
          <w:szCs w:val="23"/>
        </w:rPr>
      </w:pPr>
      <w:r>
        <w:rPr>
          <w:rFonts w:ascii="Arial" w:hAnsi="Arial" w:cs="Arial"/>
          <w:i/>
          <w:iCs/>
          <w:color w:val="343A40"/>
          <w:sz w:val="27"/>
          <w:szCs w:val="27"/>
        </w:rPr>
        <w:t>“It seems to me that if tribes are determined to maintain the blood quantum system, we must do either of the two following things to avoid ending up with the majority of our tribal population having less than the “required” level of Native blood: (1)Institute an arranged marriage system that ensures our children and grandchildren, who want to have children, marry within the race and tribe so they can produce more “little Indians” with the “proper” blood quantum required by our tribes: or (2) adopt citizenship criteria that do not care whether our children or grandchildren are quarter, half, or full blood but, instead, that they are productive, happy, committed, contributing members of our nations, who will keep our languages alive, protect our homelands and resources, and maintain a tribal way of life based upon the teaching of our ancestors. I personally vote for number two.</w:t>
      </w:r>
      <w:r>
        <w:rPr>
          <w:rFonts w:ascii="Arial" w:hAnsi="Arial" w:cs="Arial"/>
          <w:color w:val="343A40"/>
          <w:sz w:val="27"/>
          <w:szCs w:val="27"/>
        </w:rPr>
        <w:t>”</w:t>
      </w:r>
    </w:p>
    <w:p w14:paraId="7BCC3A44" w14:textId="3BF05125" w:rsidR="003E29E5" w:rsidRDefault="003E29E5" w:rsidP="003E29E5">
      <w:pPr>
        <w:pStyle w:val="NormalWeb"/>
        <w:shd w:val="clear" w:color="auto" w:fill="FFFFFF"/>
        <w:spacing w:before="0" w:beforeAutospacing="0"/>
        <w:rPr>
          <w:rStyle w:val="Strong"/>
          <w:rFonts w:ascii="Arial" w:hAnsi="Arial" w:cs="Arial"/>
          <w:color w:val="343A40"/>
          <w:sz w:val="27"/>
          <w:szCs w:val="27"/>
        </w:rPr>
      </w:pPr>
      <w:proofErr w:type="gramStart"/>
      <w:r>
        <w:rPr>
          <w:rStyle w:val="Strong"/>
          <w:rFonts w:ascii="Arial" w:hAnsi="Arial" w:cs="Arial"/>
          <w:color w:val="343A40"/>
          <w:sz w:val="27"/>
          <w:szCs w:val="27"/>
        </w:rPr>
        <w:lastRenderedPageBreak/>
        <w:t>Don't</w:t>
      </w:r>
      <w:proofErr w:type="gramEnd"/>
      <w:r>
        <w:rPr>
          <w:rStyle w:val="Strong"/>
          <w:rFonts w:ascii="Arial" w:hAnsi="Arial" w:cs="Arial"/>
          <w:color w:val="343A40"/>
          <w:sz w:val="27"/>
          <w:szCs w:val="27"/>
        </w:rPr>
        <w:t xml:space="preserve"> worry, I will not ask you any questions on Blood Quantum....This simply does not make any sense to me as an educator or as a researcher... Instead, I just wanted you to have an idea of how far government policies have gone that work to dis-empower a particular group of people in Canada.</w:t>
      </w:r>
    </w:p>
    <w:p w14:paraId="207D1AB3" w14:textId="77777777" w:rsidR="00C306AC" w:rsidRDefault="00C306AC" w:rsidP="003B3165">
      <w:pPr>
        <w:pStyle w:val="Heading2"/>
        <w:shd w:val="clear" w:color="auto" w:fill="FFFFFF"/>
        <w:spacing w:before="0" w:beforeAutospacing="0"/>
        <w:rPr>
          <w:rFonts w:ascii="Segoe UI" w:hAnsi="Segoe UI" w:cs="Segoe UI"/>
          <w:b w:val="0"/>
          <w:bCs w:val="0"/>
          <w:color w:val="343A40"/>
        </w:rPr>
      </w:pPr>
    </w:p>
    <w:p w14:paraId="1EF88E6E" w14:textId="77777777" w:rsidR="00C306AC" w:rsidRDefault="00C306AC" w:rsidP="003B3165">
      <w:pPr>
        <w:pStyle w:val="Heading2"/>
        <w:shd w:val="clear" w:color="auto" w:fill="FFFFFF"/>
        <w:spacing w:before="0" w:beforeAutospacing="0"/>
        <w:rPr>
          <w:rFonts w:ascii="Segoe UI" w:hAnsi="Segoe UI" w:cs="Segoe UI"/>
          <w:b w:val="0"/>
          <w:bCs w:val="0"/>
          <w:color w:val="343A40"/>
        </w:rPr>
      </w:pPr>
    </w:p>
    <w:p w14:paraId="41D03B96" w14:textId="7A761460" w:rsidR="003B3165" w:rsidRDefault="003B3165" w:rsidP="003B3165">
      <w:pPr>
        <w:pStyle w:val="Heading2"/>
        <w:shd w:val="clear" w:color="auto" w:fill="FFFFFF"/>
        <w:spacing w:before="0" w:beforeAutospacing="0"/>
        <w:rPr>
          <w:rFonts w:ascii="Segoe UI" w:hAnsi="Segoe UI" w:cs="Segoe UI"/>
          <w:b w:val="0"/>
          <w:bCs w:val="0"/>
          <w:color w:val="343A40"/>
        </w:rPr>
      </w:pPr>
      <w:r>
        <w:rPr>
          <w:rFonts w:ascii="Segoe UI" w:hAnsi="Segoe UI" w:cs="Segoe UI"/>
          <w:b w:val="0"/>
          <w:bCs w:val="0"/>
          <w:color w:val="343A40"/>
        </w:rPr>
        <w:t>Week 4; Health Care Issues: Contemporary Policies and Indigenous Health</w:t>
      </w:r>
    </w:p>
    <w:p w14:paraId="6C8AD084" w14:textId="77777777" w:rsidR="003B3165" w:rsidRPr="00C306AC" w:rsidRDefault="003B3165" w:rsidP="003B3165">
      <w:pPr>
        <w:pStyle w:val="Heading3"/>
        <w:shd w:val="clear" w:color="auto" w:fill="FFFFFF"/>
        <w:spacing w:before="0" w:beforeAutospacing="0"/>
        <w:rPr>
          <w:rFonts w:ascii="Segoe UI" w:hAnsi="Segoe UI" w:cs="Segoe UI"/>
          <w:color w:val="343A40"/>
        </w:rPr>
      </w:pPr>
      <w:r w:rsidRPr="00C306AC">
        <w:rPr>
          <w:rFonts w:ascii="Segoe UI" w:hAnsi="Segoe UI" w:cs="Segoe UI"/>
          <w:color w:val="343A40"/>
        </w:rPr>
        <w:t>Self-Determination</w:t>
      </w:r>
    </w:p>
    <w:p w14:paraId="246E4ECB" w14:textId="77777777" w:rsidR="003B3165" w:rsidRDefault="003B3165" w:rsidP="003B3165">
      <w:pPr>
        <w:pStyle w:val="NormalWeb"/>
        <w:shd w:val="clear" w:color="auto" w:fill="FFFFFF"/>
        <w:spacing w:before="0" w:beforeAutospacing="0"/>
        <w:rPr>
          <w:rFonts w:ascii="Segoe UI" w:hAnsi="Segoe UI" w:cs="Segoe UI"/>
          <w:color w:val="343A40"/>
          <w:sz w:val="23"/>
          <w:szCs w:val="23"/>
        </w:rPr>
      </w:pPr>
      <w:r>
        <w:rPr>
          <w:rFonts w:ascii="Segoe UI" w:hAnsi="Segoe UI" w:cs="Segoe UI"/>
          <w:color w:val="343A40"/>
          <w:sz w:val="23"/>
          <w:szCs w:val="23"/>
        </w:rPr>
        <w:t>We will visit the theme of Indigenous self-determination in health in later weeks. For now, it is important that we consider the prevalence at which the self-determining potential of Indigenous communities has made up much of the political mobilizing of Indigenous communities across Turtle Island, and in various capacities.   </w:t>
      </w:r>
    </w:p>
    <w:p w14:paraId="36D17885" w14:textId="77777777" w:rsidR="003B3165" w:rsidRDefault="003B3165" w:rsidP="003B3165">
      <w:pPr>
        <w:pStyle w:val="NormalWeb"/>
        <w:shd w:val="clear" w:color="auto" w:fill="FFFFFF"/>
        <w:spacing w:before="0" w:beforeAutospacing="0"/>
        <w:rPr>
          <w:rFonts w:ascii="Segoe UI" w:hAnsi="Segoe UI" w:cs="Segoe UI"/>
          <w:color w:val="343A40"/>
          <w:sz w:val="23"/>
          <w:szCs w:val="23"/>
        </w:rPr>
      </w:pPr>
      <w:r>
        <w:rPr>
          <w:rFonts w:ascii="Segoe UI" w:hAnsi="Segoe UI" w:cs="Segoe UI"/>
          <w:color w:val="343A40"/>
          <w:sz w:val="23"/>
          <w:szCs w:val="23"/>
        </w:rPr>
        <w:t xml:space="preserve">As the article by V. Napoleon (2005) under this week's required readings discusses, the issue of self-determination </w:t>
      </w:r>
      <w:proofErr w:type="gramStart"/>
      <w:r>
        <w:rPr>
          <w:rFonts w:ascii="Segoe UI" w:hAnsi="Segoe UI" w:cs="Segoe UI"/>
          <w:color w:val="343A40"/>
          <w:sz w:val="23"/>
          <w:szCs w:val="23"/>
        </w:rPr>
        <w:t>in the area of</w:t>
      </w:r>
      <w:proofErr w:type="gramEnd"/>
      <w:r>
        <w:rPr>
          <w:rFonts w:ascii="Segoe UI" w:hAnsi="Segoe UI" w:cs="Segoe UI"/>
          <w:color w:val="343A40"/>
          <w:sz w:val="23"/>
          <w:szCs w:val="23"/>
        </w:rPr>
        <w:t xml:space="preserve"> band membership is rife with complexities. The author explains how the community of </w:t>
      </w:r>
      <w:proofErr w:type="spellStart"/>
      <w:r>
        <w:rPr>
          <w:rFonts w:ascii="Segoe UI" w:hAnsi="Segoe UI" w:cs="Segoe UI"/>
          <w:color w:val="343A40"/>
          <w:sz w:val="23"/>
          <w:szCs w:val="23"/>
        </w:rPr>
        <w:t>Saulteau</w:t>
      </w:r>
      <w:proofErr w:type="spellEnd"/>
      <w:r>
        <w:rPr>
          <w:rFonts w:ascii="Segoe UI" w:hAnsi="Segoe UI" w:cs="Segoe UI"/>
          <w:color w:val="343A40"/>
          <w:sz w:val="23"/>
          <w:szCs w:val="23"/>
        </w:rPr>
        <w:t xml:space="preserve"> First Nation made amendments to their band membership code after the 1985 amendment of the Indian Act, and offers considerations for a self-determined approach to doing so that upholds both individual and collective notions of autonomy. As you read through this article, keep in mind the challenges that communities face in balancing a hybrid approach to their operations (in membership codes, in health and other social policies) while remaining under the Indian Act. Incorporating Indigenous values, laws, cultural practices in the everyday is a meaningful act of resurgence that Indigenous communities can take on in an individual and communal capacity (</w:t>
      </w:r>
      <w:proofErr w:type="spellStart"/>
      <w:r>
        <w:rPr>
          <w:rFonts w:ascii="Segoe UI" w:hAnsi="Segoe UI" w:cs="Segoe UI"/>
          <w:color w:val="343A40"/>
          <w:sz w:val="23"/>
          <w:szCs w:val="23"/>
        </w:rPr>
        <w:t>Corntassel</w:t>
      </w:r>
      <w:proofErr w:type="spellEnd"/>
      <w:r>
        <w:rPr>
          <w:rFonts w:ascii="Segoe UI" w:hAnsi="Segoe UI" w:cs="Segoe UI"/>
          <w:color w:val="343A40"/>
          <w:sz w:val="23"/>
          <w:szCs w:val="23"/>
        </w:rPr>
        <w:t xml:space="preserve"> 2018). Doing so is also a hopeful reversal of assimilationist policies.  </w:t>
      </w:r>
    </w:p>
    <w:p w14:paraId="1D0957B1" w14:textId="77777777" w:rsidR="003B3165" w:rsidRDefault="003B3165" w:rsidP="003B3165">
      <w:pPr>
        <w:pStyle w:val="NormalWeb"/>
        <w:shd w:val="clear" w:color="auto" w:fill="FFFFFF"/>
        <w:spacing w:before="0" w:beforeAutospacing="0"/>
        <w:rPr>
          <w:rFonts w:ascii="Segoe UI" w:hAnsi="Segoe UI" w:cs="Segoe UI"/>
          <w:color w:val="343A40"/>
          <w:sz w:val="23"/>
          <w:szCs w:val="23"/>
        </w:rPr>
      </w:pPr>
      <w:r>
        <w:rPr>
          <w:rFonts w:ascii="Segoe UI" w:hAnsi="Segoe UI" w:cs="Segoe UI"/>
          <w:color w:val="343A40"/>
          <w:sz w:val="23"/>
          <w:szCs w:val="23"/>
        </w:rPr>
        <w:t>Also, keep in mind the growing prevalence that the language of autonomy and self-reliance has occupied the political discourse between Indigenous peoples and Canadian states. As we have seen in the example of Indian Health Policy, 1979, an effort toward capacity-building on-reserves represents a gradual shift in the political discourse, away from Indigenous peoples as reliant upon governments and towards Indigenous self-sufficiency and self-government (if only at a minimal rate). </w:t>
      </w:r>
    </w:p>
    <w:p w14:paraId="0A4D1EA8" w14:textId="7CF205D1" w:rsidR="003E29E5" w:rsidRDefault="003E29E5"/>
    <w:p w14:paraId="63A7194C" w14:textId="77777777" w:rsidR="00E87E13" w:rsidRPr="005F4F79" w:rsidRDefault="00E87E13" w:rsidP="00E87E13">
      <w:pPr>
        <w:pStyle w:val="Heading2"/>
        <w:shd w:val="clear" w:color="auto" w:fill="FFFFFF"/>
        <w:spacing w:before="0" w:beforeAutospacing="0"/>
        <w:rPr>
          <w:rFonts w:ascii="Segoe UI" w:hAnsi="Segoe UI" w:cs="Segoe UI"/>
          <w:color w:val="343A40"/>
        </w:rPr>
      </w:pPr>
      <w:r w:rsidRPr="005F4F79">
        <w:rPr>
          <w:rFonts w:ascii="Segoe UI" w:hAnsi="Segoe UI" w:cs="Segoe UI"/>
          <w:color w:val="343A40"/>
        </w:rPr>
        <w:lastRenderedPageBreak/>
        <w:t>Week 4; Health Care Issues: Contemporary Policies and Indigenous Health</w:t>
      </w:r>
    </w:p>
    <w:p w14:paraId="1C825E4A" w14:textId="77777777" w:rsidR="00E87E13" w:rsidRPr="00E87E13" w:rsidRDefault="00E87E13" w:rsidP="00E87E13">
      <w:pPr>
        <w:pStyle w:val="Heading3"/>
        <w:shd w:val="clear" w:color="auto" w:fill="FFFFFF"/>
        <w:spacing w:before="0" w:beforeAutospacing="0"/>
        <w:rPr>
          <w:rFonts w:ascii="Segoe UI" w:hAnsi="Segoe UI" w:cs="Segoe UI"/>
          <w:color w:val="343A40"/>
        </w:rPr>
      </w:pPr>
      <w:r w:rsidRPr="00E87E13">
        <w:rPr>
          <w:rFonts w:ascii="Segoe UI" w:hAnsi="Segoe UI" w:cs="Segoe UI"/>
          <w:color w:val="343A40"/>
        </w:rPr>
        <w:t>Cultural Appropriation</w:t>
      </w:r>
    </w:p>
    <w:p w14:paraId="50680304"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 xml:space="preserve">Cultural appropriation is the act of taking from someone else’s culture without their consent. This can include using aspects of traditional knowledge or cultural expressions, as well as </w:t>
      </w:r>
      <w:proofErr w:type="gramStart"/>
      <w:r>
        <w:rPr>
          <w:rFonts w:ascii="Arial" w:hAnsi="Arial" w:cs="Arial"/>
          <w:color w:val="343A40"/>
          <w:sz w:val="27"/>
          <w:szCs w:val="27"/>
        </w:rPr>
        <w:t>particular music</w:t>
      </w:r>
      <w:proofErr w:type="gramEnd"/>
      <w:r>
        <w:rPr>
          <w:rFonts w:ascii="Arial" w:hAnsi="Arial" w:cs="Arial"/>
          <w:color w:val="343A40"/>
          <w:sz w:val="27"/>
          <w:szCs w:val="27"/>
        </w:rPr>
        <w:t>, dances, regalia, cuisine, symbols, ceremonies, artistic expressions and so on.</w:t>
      </w:r>
    </w:p>
    <w:p w14:paraId="41488AE4"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Cultural appropriation often reflects a racialized power imbalance between two cultures, the taking of culture — rather than the consensual sharing of it — which often, in turn, involves exploitation of one group over another. Cultural appropriation disregards the sacred meanings and stories associated with those practices or items that are being taken.</w:t>
      </w:r>
    </w:p>
    <w:p w14:paraId="17052FE3"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 xml:space="preserve">In Canada, the appropriation of Indigenous culture by white, non-Indigenous peoples is rooted in colonization. Critics of cultural appropriation note that, in many cases, it has been used in ways that either perpetuate negative attitudes about Indigenous peoples or celebrate and romanticize them. Moreover, appropriation separates people, their history and lived experience, from cultural symbols, </w:t>
      </w:r>
      <w:proofErr w:type="gramStart"/>
      <w:r>
        <w:rPr>
          <w:rFonts w:ascii="Arial" w:hAnsi="Arial" w:cs="Arial"/>
          <w:color w:val="343A40"/>
          <w:sz w:val="27"/>
          <w:szCs w:val="27"/>
        </w:rPr>
        <w:t>literature</w:t>
      </w:r>
      <w:proofErr w:type="gramEnd"/>
      <w:r>
        <w:rPr>
          <w:rFonts w:ascii="Arial" w:hAnsi="Arial" w:cs="Arial"/>
          <w:color w:val="343A40"/>
          <w:sz w:val="27"/>
          <w:szCs w:val="27"/>
        </w:rPr>
        <w:t> and objects, many of which hold sacred meaning.</w:t>
      </w:r>
    </w:p>
    <w:p w14:paraId="3D0ACFE3"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Style w:val="Strong"/>
          <w:rFonts w:ascii="Segoe UI" w:hAnsi="Segoe UI" w:cs="Segoe UI"/>
          <w:color w:val="343A40"/>
          <w:sz w:val="23"/>
          <w:szCs w:val="23"/>
        </w:rPr>
        <w:t>Source:</w:t>
      </w:r>
      <w:r>
        <w:rPr>
          <w:rFonts w:ascii="Segoe UI" w:hAnsi="Segoe UI" w:cs="Segoe UI"/>
          <w:color w:val="343A40"/>
          <w:sz w:val="23"/>
          <w:szCs w:val="23"/>
        </w:rPr>
        <w:t> Brant, J., Cultural Appropriation of Indigenous Peoples in Canada (2019). In </w:t>
      </w:r>
      <w:proofErr w:type="gramStart"/>
      <w:r>
        <w:rPr>
          <w:rStyle w:val="Emphasis"/>
          <w:rFonts w:ascii="Segoe UI" w:hAnsi="Segoe UI" w:cs="Segoe UI"/>
          <w:color w:val="343A40"/>
          <w:sz w:val="23"/>
          <w:szCs w:val="23"/>
        </w:rPr>
        <w:t>The</w:t>
      </w:r>
      <w:proofErr w:type="gramEnd"/>
      <w:r>
        <w:rPr>
          <w:rStyle w:val="Emphasis"/>
          <w:rFonts w:ascii="Segoe UI" w:hAnsi="Segoe UI" w:cs="Segoe UI"/>
          <w:color w:val="343A40"/>
          <w:sz w:val="23"/>
          <w:szCs w:val="23"/>
        </w:rPr>
        <w:t xml:space="preserve"> Canadian Encyclopedia</w:t>
      </w:r>
      <w:r>
        <w:rPr>
          <w:rFonts w:ascii="Segoe UI" w:hAnsi="Segoe UI" w:cs="Segoe UI"/>
          <w:color w:val="343A40"/>
          <w:sz w:val="23"/>
          <w:szCs w:val="23"/>
        </w:rPr>
        <w:t>. Retrieved from https://www.thecanadianencyclopedia.ca/en/article/cultural-appropriation-of-indigenous-peoples-in-canada</w:t>
      </w:r>
    </w:p>
    <w:p w14:paraId="62D608AF"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Style w:val="Strong"/>
          <w:rFonts w:ascii="Arial" w:hAnsi="Arial" w:cs="Arial"/>
          <w:color w:val="343A40"/>
          <w:sz w:val="36"/>
          <w:szCs w:val="36"/>
        </w:rPr>
        <w:t>How might Cultural Appropriation influence the health of Indigenous people in Canada?</w:t>
      </w:r>
      <w:r>
        <w:rPr>
          <w:rStyle w:val="Strong"/>
          <w:rFonts w:ascii="Segoe UI" w:hAnsi="Segoe UI" w:cs="Segoe UI"/>
          <w:color w:val="343A40"/>
          <w:sz w:val="23"/>
          <w:szCs w:val="23"/>
        </w:rPr>
        <w:t> </w:t>
      </w:r>
    </w:p>
    <w:p w14:paraId="48181DE1" w14:textId="77777777" w:rsidR="00E87E13" w:rsidRPr="005F4F79" w:rsidRDefault="00E87E13" w:rsidP="00E87E13">
      <w:pPr>
        <w:pStyle w:val="NormalWeb"/>
        <w:shd w:val="clear" w:color="auto" w:fill="FFFFFF"/>
        <w:spacing w:before="0" w:beforeAutospacing="0"/>
        <w:rPr>
          <w:rFonts w:ascii="Segoe UI" w:hAnsi="Segoe UI" w:cs="Segoe UI"/>
          <w:b/>
          <w:bCs/>
          <w:color w:val="343A40"/>
          <w:sz w:val="23"/>
          <w:szCs w:val="23"/>
        </w:rPr>
      </w:pPr>
      <w:r w:rsidRPr="005F4F79">
        <w:rPr>
          <w:rFonts w:ascii="Arial" w:hAnsi="Arial" w:cs="Arial"/>
          <w:b/>
          <w:bCs/>
          <w:color w:val="343A40"/>
          <w:sz w:val="27"/>
          <w:szCs w:val="27"/>
        </w:rPr>
        <w:t xml:space="preserve">Cultural appropriation </w:t>
      </w:r>
      <w:proofErr w:type="gramStart"/>
      <w:r w:rsidRPr="005F4F79">
        <w:rPr>
          <w:rFonts w:ascii="Arial" w:hAnsi="Arial" w:cs="Arial"/>
          <w:b/>
          <w:bCs/>
          <w:color w:val="343A40"/>
          <w:sz w:val="27"/>
          <w:szCs w:val="27"/>
        </w:rPr>
        <w:t>is considered to be</w:t>
      </w:r>
      <w:proofErr w:type="gramEnd"/>
      <w:r w:rsidRPr="005F4F79">
        <w:rPr>
          <w:rFonts w:ascii="Arial" w:hAnsi="Arial" w:cs="Arial"/>
          <w:b/>
          <w:bCs/>
          <w:color w:val="343A40"/>
          <w:sz w:val="27"/>
          <w:szCs w:val="27"/>
        </w:rPr>
        <w:t xml:space="preserve"> harmful for several reasons.</w:t>
      </w:r>
    </w:p>
    <w:p w14:paraId="603F27B0"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 xml:space="preserve">1.It tends to lock Indigenous peoples into the past without acknowledging that they are still living, practicing sacred ceremonies and that contemporary Indigenous peoples extend their worldviews and livelihood throughout all segments of society. In this way, it has been observed that cultural appropriation continues to present Indigenous peoples as a conquered group </w:t>
      </w:r>
      <w:r>
        <w:rPr>
          <w:rFonts w:ascii="Arial" w:hAnsi="Arial" w:cs="Arial"/>
          <w:color w:val="343A40"/>
          <w:sz w:val="27"/>
          <w:szCs w:val="27"/>
        </w:rPr>
        <w:lastRenderedPageBreak/>
        <w:t>of the past, limiting understandings of Indigenous peoples as contributing and valuable members of contemporary society.</w:t>
      </w:r>
    </w:p>
    <w:p w14:paraId="71E27ACD"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2. It often places the many distinct Indigenous nations into one category without acknowledging the sophistication and diversity of Indigenous peoples that transcends this limited category. In many cases, this divides understandings of Indigenous peoples into binary representations that extend colonial ideologies to present-day racialized perceptions.</w:t>
      </w:r>
    </w:p>
    <w:p w14:paraId="188E11F2"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 xml:space="preserve">3. local artisans such as basket makers end up competing with the commercialization and appropriation of their work. The debate over retailers selling dream catchers as part of their Canada 150 merchandise is an example of appropriation that threatens the work of local artisans </w:t>
      </w:r>
      <w:proofErr w:type="gramStart"/>
      <w:r>
        <w:rPr>
          <w:rFonts w:ascii="Arial" w:hAnsi="Arial" w:cs="Arial"/>
          <w:color w:val="343A40"/>
          <w:sz w:val="27"/>
          <w:szCs w:val="27"/>
        </w:rPr>
        <w:t>and also</w:t>
      </w:r>
      <w:proofErr w:type="gramEnd"/>
      <w:r>
        <w:rPr>
          <w:rFonts w:ascii="Arial" w:hAnsi="Arial" w:cs="Arial"/>
          <w:color w:val="343A40"/>
          <w:sz w:val="27"/>
          <w:szCs w:val="27"/>
        </w:rPr>
        <w:t xml:space="preserve"> devalues the cultural teachings that accompany dream catchers. Dream catchers come with a teaching that is shared as part of the oral tradition of the Anishinaabe people and carried by many nations who have come to know and honour the story of the dream catcher.</w:t>
      </w:r>
    </w:p>
    <w:p w14:paraId="1D5333FA"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Watch Video </w:t>
      </w:r>
      <w:hyperlink r:id="rId5" w:history="1">
        <w:r>
          <w:rPr>
            <w:rStyle w:val="Strong"/>
            <w:rFonts w:ascii="Arial" w:hAnsi="Arial" w:cs="Arial"/>
            <w:color w:val="0086D4"/>
            <w:sz w:val="27"/>
            <w:szCs w:val="27"/>
          </w:rPr>
          <w:t>Cultural Appropriation vs. Appreciation</w:t>
        </w:r>
      </w:hyperlink>
      <w:r>
        <w:rPr>
          <w:rFonts w:ascii="Arial" w:hAnsi="Arial" w:cs="Arial"/>
          <w:color w:val="343A40"/>
          <w:sz w:val="27"/>
          <w:szCs w:val="27"/>
        </w:rPr>
        <w:t> to better understand how appropriation supports ongoing colonial ideology.</w:t>
      </w:r>
    </w:p>
    <w:p w14:paraId="1BFDC71A" w14:textId="77777777" w:rsidR="00E87E13" w:rsidRDefault="00E87E13" w:rsidP="00E87E13">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Lastly, </w:t>
      </w:r>
      <w:hyperlink r:id="rId6" w:tgtFrame="_blank" w:history="1">
        <w:r>
          <w:rPr>
            <w:rStyle w:val="Hyperlink"/>
            <w:rFonts w:ascii="Arial" w:hAnsi="Arial" w:cs="Arial"/>
            <w:color w:val="0086D4"/>
            <w:sz w:val="27"/>
            <w:szCs w:val="27"/>
          </w:rPr>
          <w:t>This article</w:t>
        </w:r>
      </w:hyperlink>
      <w:r>
        <w:rPr>
          <w:rFonts w:ascii="Arial" w:hAnsi="Arial" w:cs="Arial"/>
          <w:color w:val="343A40"/>
          <w:sz w:val="27"/>
          <w:szCs w:val="27"/>
        </w:rPr>
        <w:t> from the Institute on Research for Poverty, although based on statistics from the United States, includes valuable figures from the World Health Organization and discussion on the impact of economic factors on health. Supporting Indigenous artists by properly honouring their craft supports their ability to not only live but to continue to carry out cultural reclamation and resurgence. </w:t>
      </w:r>
    </w:p>
    <w:p w14:paraId="25A46972" w14:textId="0E625F74" w:rsidR="00400AF4" w:rsidRDefault="00400AF4" w:rsidP="00400AF4">
      <w:pPr>
        <w:pStyle w:val="Heading2"/>
        <w:shd w:val="clear" w:color="auto" w:fill="FFFFFF"/>
        <w:spacing w:before="0" w:beforeAutospacing="0"/>
        <w:rPr>
          <w:rFonts w:ascii="Segoe UI" w:hAnsi="Segoe UI" w:cs="Segoe UI"/>
          <w:b w:val="0"/>
          <w:bCs w:val="0"/>
          <w:color w:val="343A40"/>
        </w:rPr>
      </w:pPr>
      <w:r>
        <w:rPr>
          <w:rFonts w:ascii="Segoe UI" w:hAnsi="Segoe UI" w:cs="Segoe UI"/>
          <w:b w:val="0"/>
          <w:bCs w:val="0"/>
          <w:color w:val="343A40"/>
        </w:rPr>
        <w:t>Week 4; Health Care Issues: Contemporary Policies and Indigenous Health</w:t>
      </w:r>
    </w:p>
    <w:p w14:paraId="2F6DFC5A" w14:textId="77777777" w:rsidR="00400AF4" w:rsidRDefault="00400AF4" w:rsidP="00400AF4">
      <w:pPr>
        <w:pStyle w:val="Heading3"/>
        <w:shd w:val="clear" w:color="auto" w:fill="FFFFFF"/>
        <w:spacing w:before="0" w:beforeAutospacing="0"/>
        <w:rPr>
          <w:rFonts w:ascii="Segoe UI" w:hAnsi="Segoe UI" w:cs="Segoe UI"/>
          <w:b w:val="0"/>
          <w:bCs w:val="0"/>
          <w:color w:val="343A40"/>
        </w:rPr>
      </w:pPr>
      <w:r>
        <w:rPr>
          <w:rFonts w:ascii="Segoe UI" w:hAnsi="Segoe UI" w:cs="Segoe UI"/>
          <w:b w:val="0"/>
          <w:bCs w:val="0"/>
          <w:color w:val="343A40"/>
        </w:rPr>
        <w:t>Weekly Summary</w:t>
      </w:r>
    </w:p>
    <w:p w14:paraId="2976DC8B" w14:textId="77777777" w:rsidR="00400AF4" w:rsidRDefault="00400AF4" w:rsidP="00400AF4">
      <w:pPr>
        <w:pStyle w:val="NormalWeb"/>
        <w:shd w:val="clear" w:color="auto" w:fill="FFFFFF"/>
        <w:spacing w:before="0" w:beforeAutospacing="0"/>
        <w:rPr>
          <w:rFonts w:ascii="Segoe UI" w:hAnsi="Segoe UI" w:cs="Segoe UI"/>
          <w:color w:val="343A40"/>
          <w:sz w:val="23"/>
          <w:szCs w:val="23"/>
        </w:rPr>
      </w:pPr>
      <w:r>
        <w:rPr>
          <w:rStyle w:val="Emphasis"/>
          <w:rFonts w:ascii="Arial" w:hAnsi="Arial" w:cs="Arial"/>
          <w:color w:val="343A40"/>
          <w:sz w:val="27"/>
          <w:szCs w:val="27"/>
        </w:rPr>
        <w:t>Okay...are you starting to make connections between self-determined power, government legislation, and the health of Indigenous people?</w:t>
      </w:r>
    </w:p>
    <w:p w14:paraId="4FF77DC9" w14:textId="77777777" w:rsidR="00400AF4" w:rsidRDefault="00400AF4" w:rsidP="00400AF4">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t xml:space="preserve">Some of the information for this week is most likely a review (see INHS 100, INHS 101). However, understanding the political, and social realities that influence Indigenous </w:t>
      </w:r>
      <w:proofErr w:type="gramStart"/>
      <w:r>
        <w:rPr>
          <w:rFonts w:ascii="Arial" w:hAnsi="Arial" w:cs="Arial"/>
          <w:color w:val="343A40"/>
          <w:sz w:val="27"/>
          <w:szCs w:val="27"/>
        </w:rPr>
        <w:t>peoples</w:t>
      </w:r>
      <w:proofErr w:type="gramEnd"/>
      <w:r>
        <w:rPr>
          <w:rFonts w:ascii="Arial" w:hAnsi="Arial" w:cs="Arial"/>
          <w:color w:val="343A40"/>
          <w:sz w:val="27"/>
          <w:szCs w:val="27"/>
        </w:rPr>
        <w:t xml:space="preserve"> contemporary health in much more complicated than only examining the Social determinants of Health. </w:t>
      </w:r>
    </w:p>
    <w:p w14:paraId="64A1782F" w14:textId="77777777" w:rsidR="00400AF4" w:rsidRDefault="00400AF4" w:rsidP="00400AF4">
      <w:pPr>
        <w:pStyle w:val="NormalWeb"/>
        <w:shd w:val="clear" w:color="auto" w:fill="FFFFFF"/>
        <w:spacing w:before="0" w:beforeAutospacing="0"/>
        <w:rPr>
          <w:rFonts w:ascii="Segoe UI" w:hAnsi="Segoe UI" w:cs="Segoe UI"/>
          <w:color w:val="343A40"/>
          <w:sz w:val="23"/>
          <w:szCs w:val="23"/>
        </w:rPr>
      </w:pPr>
      <w:r>
        <w:rPr>
          <w:rFonts w:ascii="Arial" w:hAnsi="Arial" w:cs="Arial"/>
          <w:color w:val="343A40"/>
          <w:sz w:val="27"/>
          <w:szCs w:val="27"/>
        </w:rPr>
        <w:lastRenderedPageBreak/>
        <w:t xml:space="preserve">In the next few </w:t>
      </w:r>
      <w:proofErr w:type="gramStart"/>
      <w:r>
        <w:rPr>
          <w:rFonts w:ascii="Arial" w:hAnsi="Arial" w:cs="Arial"/>
          <w:color w:val="343A40"/>
          <w:sz w:val="27"/>
          <w:szCs w:val="27"/>
        </w:rPr>
        <w:t>weeks</w:t>
      </w:r>
      <w:proofErr w:type="gramEnd"/>
      <w:r>
        <w:rPr>
          <w:rFonts w:ascii="Arial" w:hAnsi="Arial" w:cs="Arial"/>
          <w:color w:val="343A40"/>
          <w:sz w:val="27"/>
          <w:szCs w:val="27"/>
        </w:rPr>
        <w:t xml:space="preserve"> you will need to have a deeper and more critical understanding of the "context" of health. Such as, identity, power, self-determination, self-governance, and relationships between Indigenous people and government. Also think about who is defining these issues? After centuries of colonization, how are Indigenous people determining their own future, health and so on? Why is this important?</w:t>
      </w:r>
    </w:p>
    <w:p w14:paraId="6BD60B73" w14:textId="77777777" w:rsidR="00E87E13" w:rsidRDefault="00E87E13"/>
    <w:sectPr w:rsidR="00E87E1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B4F"/>
    <w:rsid w:val="003B3165"/>
    <w:rsid w:val="003E29E5"/>
    <w:rsid w:val="00400AF4"/>
    <w:rsid w:val="00424C43"/>
    <w:rsid w:val="005F4F79"/>
    <w:rsid w:val="008442F1"/>
    <w:rsid w:val="00B47B4F"/>
    <w:rsid w:val="00C306AC"/>
    <w:rsid w:val="00CC60FE"/>
    <w:rsid w:val="00E7331D"/>
    <w:rsid w:val="00E87E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C0316"/>
  <w15:chartTrackingRefBased/>
  <w15:docId w15:val="{BC8A7787-6FF1-4611-995E-7D955F05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7331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E7331D"/>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31D"/>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E7331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E7331D"/>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E7331D"/>
    <w:rPr>
      <w:color w:val="0000FF"/>
      <w:u w:val="single"/>
    </w:rPr>
  </w:style>
  <w:style w:type="character" w:styleId="Strong">
    <w:name w:val="Strong"/>
    <w:basedOn w:val="DefaultParagraphFont"/>
    <w:uiPriority w:val="22"/>
    <w:qFormat/>
    <w:rsid w:val="00E7331D"/>
    <w:rPr>
      <w:b/>
      <w:bCs/>
    </w:rPr>
  </w:style>
  <w:style w:type="character" w:styleId="Emphasis">
    <w:name w:val="Emphasis"/>
    <w:basedOn w:val="DefaultParagraphFont"/>
    <w:uiPriority w:val="20"/>
    <w:qFormat/>
    <w:rsid w:val="00E87E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720222">
      <w:bodyDiv w:val="1"/>
      <w:marLeft w:val="0"/>
      <w:marRight w:val="0"/>
      <w:marTop w:val="0"/>
      <w:marBottom w:val="0"/>
      <w:divBdr>
        <w:top w:val="none" w:sz="0" w:space="0" w:color="auto"/>
        <w:left w:val="none" w:sz="0" w:space="0" w:color="auto"/>
        <w:bottom w:val="none" w:sz="0" w:space="0" w:color="auto"/>
        <w:right w:val="none" w:sz="0" w:space="0" w:color="auto"/>
      </w:divBdr>
      <w:divsChild>
        <w:div w:id="1492675992">
          <w:marLeft w:val="0"/>
          <w:marRight w:val="0"/>
          <w:marTop w:val="0"/>
          <w:marBottom w:val="0"/>
          <w:divBdr>
            <w:top w:val="none" w:sz="0" w:space="0" w:color="auto"/>
            <w:left w:val="none" w:sz="0" w:space="0" w:color="auto"/>
            <w:bottom w:val="none" w:sz="0" w:space="0" w:color="auto"/>
            <w:right w:val="none" w:sz="0" w:space="0" w:color="auto"/>
          </w:divBdr>
        </w:div>
      </w:divsChild>
    </w:div>
    <w:div w:id="461967148">
      <w:bodyDiv w:val="1"/>
      <w:marLeft w:val="0"/>
      <w:marRight w:val="0"/>
      <w:marTop w:val="0"/>
      <w:marBottom w:val="0"/>
      <w:divBdr>
        <w:top w:val="none" w:sz="0" w:space="0" w:color="auto"/>
        <w:left w:val="none" w:sz="0" w:space="0" w:color="auto"/>
        <w:bottom w:val="none" w:sz="0" w:space="0" w:color="auto"/>
        <w:right w:val="none" w:sz="0" w:space="0" w:color="auto"/>
      </w:divBdr>
      <w:divsChild>
        <w:div w:id="460345954">
          <w:marLeft w:val="0"/>
          <w:marRight w:val="0"/>
          <w:marTop w:val="0"/>
          <w:marBottom w:val="0"/>
          <w:divBdr>
            <w:top w:val="none" w:sz="0" w:space="0" w:color="auto"/>
            <w:left w:val="none" w:sz="0" w:space="0" w:color="auto"/>
            <w:bottom w:val="none" w:sz="0" w:space="0" w:color="auto"/>
            <w:right w:val="none" w:sz="0" w:space="0" w:color="auto"/>
          </w:divBdr>
        </w:div>
      </w:divsChild>
    </w:div>
    <w:div w:id="1636179414">
      <w:bodyDiv w:val="1"/>
      <w:marLeft w:val="0"/>
      <w:marRight w:val="0"/>
      <w:marTop w:val="0"/>
      <w:marBottom w:val="0"/>
      <w:divBdr>
        <w:top w:val="none" w:sz="0" w:space="0" w:color="auto"/>
        <w:left w:val="none" w:sz="0" w:space="0" w:color="auto"/>
        <w:bottom w:val="none" w:sz="0" w:space="0" w:color="auto"/>
        <w:right w:val="none" w:sz="0" w:space="0" w:color="auto"/>
      </w:divBdr>
      <w:divsChild>
        <w:div w:id="420880882">
          <w:marLeft w:val="0"/>
          <w:marRight w:val="0"/>
          <w:marTop w:val="0"/>
          <w:marBottom w:val="0"/>
          <w:divBdr>
            <w:top w:val="none" w:sz="0" w:space="0" w:color="auto"/>
            <w:left w:val="none" w:sz="0" w:space="0" w:color="auto"/>
            <w:bottom w:val="none" w:sz="0" w:space="0" w:color="auto"/>
            <w:right w:val="none" w:sz="0" w:space="0" w:color="auto"/>
          </w:divBdr>
        </w:div>
      </w:divsChild>
    </w:div>
    <w:div w:id="1719739106">
      <w:bodyDiv w:val="1"/>
      <w:marLeft w:val="0"/>
      <w:marRight w:val="0"/>
      <w:marTop w:val="0"/>
      <w:marBottom w:val="0"/>
      <w:divBdr>
        <w:top w:val="none" w:sz="0" w:space="0" w:color="auto"/>
        <w:left w:val="none" w:sz="0" w:space="0" w:color="auto"/>
        <w:bottom w:val="none" w:sz="0" w:space="0" w:color="auto"/>
        <w:right w:val="none" w:sz="0" w:space="0" w:color="auto"/>
      </w:divBdr>
      <w:divsChild>
        <w:div w:id="1946380371">
          <w:marLeft w:val="0"/>
          <w:marRight w:val="0"/>
          <w:marTop w:val="0"/>
          <w:marBottom w:val="0"/>
          <w:divBdr>
            <w:top w:val="none" w:sz="0" w:space="0" w:color="auto"/>
            <w:left w:val="none" w:sz="0" w:space="0" w:color="auto"/>
            <w:bottom w:val="none" w:sz="0" w:space="0" w:color="auto"/>
            <w:right w:val="none" w:sz="0" w:space="0" w:color="auto"/>
          </w:divBdr>
        </w:div>
      </w:divsChild>
    </w:div>
    <w:div w:id="1890650874">
      <w:bodyDiv w:val="1"/>
      <w:marLeft w:val="0"/>
      <w:marRight w:val="0"/>
      <w:marTop w:val="0"/>
      <w:marBottom w:val="0"/>
      <w:divBdr>
        <w:top w:val="none" w:sz="0" w:space="0" w:color="auto"/>
        <w:left w:val="none" w:sz="0" w:space="0" w:color="auto"/>
        <w:bottom w:val="none" w:sz="0" w:space="0" w:color="auto"/>
        <w:right w:val="none" w:sz="0" w:space="0" w:color="auto"/>
      </w:divBdr>
      <w:divsChild>
        <w:div w:id="1375275872">
          <w:marLeft w:val="0"/>
          <w:marRight w:val="0"/>
          <w:marTop w:val="0"/>
          <w:marBottom w:val="0"/>
          <w:divBdr>
            <w:top w:val="none" w:sz="0" w:space="0" w:color="auto"/>
            <w:left w:val="none" w:sz="0" w:space="0" w:color="auto"/>
            <w:bottom w:val="none" w:sz="0" w:space="0" w:color="auto"/>
            <w:right w:val="none" w:sz="0" w:space="0" w:color="auto"/>
          </w:divBdr>
        </w:div>
      </w:divsChild>
    </w:div>
    <w:div w:id="1924104052">
      <w:bodyDiv w:val="1"/>
      <w:marLeft w:val="0"/>
      <w:marRight w:val="0"/>
      <w:marTop w:val="0"/>
      <w:marBottom w:val="0"/>
      <w:divBdr>
        <w:top w:val="none" w:sz="0" w:space="0" w:color="auto"/>
        <w:left w:val="none" w:sz="0" w:space="0" w:color="auto"/>
        <w:bottom w:val="none" w:sz="0" w:space="0" w:color="auto"/>
        <w:right w:val="none" w:sz="0" w:space="0" w:color="auto"/>
      </w:divBdr>
      <w:divsChild>
        <w:div w:id="727609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rp.wisc.edu/publications/focus/pdfs/foc331a.pdf" TargetMode="External"/><Relationship Id="rId5" Type="http://schemas.openxmlformats.org/officeDocument/2006/relationships/hyperlink" Target="https://www.youtube.com/watch?v=vfAp_G735r0" TargetMode="External"/><Relationship Id="rId4" Type="http://schemas.openxmlformats.org/officeDocument/2006/relationships/hyperlink" Target="http://caid.ca/IndHeaPol197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1924</Words>
  <Characters>10968</Characters>
  <Application>Microsoft Office Word</Application>
  <DocSecurity>0</DocSecurity>
  <Lines>91</Lines>
  <Paragraphs>25</Paragraphs>
  <ScaleCrop>false</ScaleCrop>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dinesh kumar</dc:creator>
  <cp:keywords/>
  <dc:description/>
  <cp:lastModifiedBy>dinesh kumar</cp:lastModifiedBy>
  <cp:revision>12</cp:revision>
  <dcterms:created xsi:type="dcterms:W3CDTF">2020-09-21T19:41:00Z</dcterms:created>
  <dcterms:modified xsi:type="dcterms:W3CDTF">2020-09-21T19:53:00Z</dcterms:modified>
</cp:coreProperties>
</file>